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D6" w:rsidRPr="007B5F70" w:rsidRDefault="007B5F70" w:rsidP="007B5F70">
      <w:pPr>
        <w:jc w:val="both"/>
        <w:rPr>
          <w:rFonts w:ascii="Arial" w:hAnsi="Arial" w:cs="Arial"/>
          <w:sz w:val="20"/>
          <w:szCs w:val="20"/>
          <w:lang w:val="es-CO"/>
        </w:rPr>
      </w:pPr>
      <w:r w:rsidRPr="007B5F70">
        <w:rPr>
          <w:rFonts w:ascii="Arial" w:hAnsi="Arial" w:cs="Arial"/>
          <w:sz w:val="20"/>
          <w:szCs w:val="20"/>
          <w:lang w:val="es-CO"/>
        </w:rPr>
        <w:t xml:space="preserve">Bogotá, D.C., </w:t>
      </w:r>
      <w:r w:rsidR="00C24B93">
        <w:rPr>
          <w:rFonts w:ascii="Arial" w:hAnsi="Arial" w:cs="Arial"/>
          <w:sz w:val="20"/>
          <w:szCs w:val="20"/>
          <w:lang w:val="es-CO"/>
        </w:rPr>
        <w:t>15 de Enero</w:t>
      </w:r>
      <w:r w:rsidRPr="007B5F70">
        <w:rPr>
          <w:rFonts w:ascii="Arial" w:hAnsi="Arial" w:cs="Arial"/>
          <w:sz w:val="20"/>
          <w:szCs w:val="20"/>
          <w:lang w:val="es-CO"/>
        </w:rPr>
        <w:t xml:space="preserve"> de 2021</w:t>
      </w:r>
    </w:p>
    <w:p w:rsidR="00861BD6" w:rsidRPr="00857127" w:rsidRDefault="003E605F" w:rsidP="00003C1C">
      <w:pPr>
        <w:jc w:val="center"/>
        <w:rPr>
          <w:rFonts w:ascii="Arial" w:hAnsi="Arial" w:cs="Arial"/>
          <w:sz w:val="24"/>
          <w:szCs w:val="20"/>
          <w:lang w:val="es-CO"/>
        </w:rPr>
      </w:pPr>
      <w:r w:rsidRPr="00857127">
        <w:rPr>
          <w:rFonts w:ascii="Arial" w:hAnsi="Arial" w:cs="Arial"/>
          <w:sz w:val="24"/>
          <w:szCs w:val="20"/>
          <w:lang w:val="es-CO"/>
        </w:rPr>
        <w:t>Boletín</w:t>
      </w:r>
      <w:r w:rsidR="00861BD6" w:rsidRPr="00857127">
        <w:rPr>
          <w:rFonts w:ascii="Arial" w:hAnsi="Arial" w:cs="Arial"/>
          <w:sz w:val="24"/>
          <w:szCs w:val="20"/>
          <w:lang w:val="es-CO"/>
        </w:rPr>
        <w:t xml:space="preserve"> No. 001-2021</w:t>
      </w:r>
    </w:p>
    <w:p w:rsidR="00861BD6" w:rsidRPr="00857127" w:rsidRDefault="00861BD6" w:rsidP="00003C1C">
      <w:pPr>
        <w:jc w:val="center"/>
        <w:rPr>
          <w:rFonts w:ascii="Arial" w:hAnsi="Arial" w:cs="Arial"/>
          <w:b/>
          <w:sz w:val="32"/>
          <w:szCs w:val="24"/>
          <w:u w:val="single"/>
          <w:lang w:val="es-CO"/>
        </w:rPr>
      </w:pPr>
      <w:r w:rsidRPr="00857127">
        <w:rPr>
          <w:rFonts w:ascii="Arial" w:hAnsi="Arial" w:cs="Arial"/>
          <w:b/>
          <w:sz w:val="32"/>
          <w:szCs w:val="24"/>
          <w:u w:val="single"/>
          <w:lang w:val="es-CO"/>
        </w:rPr>
        <w:t>“DE LOS ANONIMOS”</w:t>
      </w:r>
    </w:p>
    <w:p w:rsidR="002442A7" w:rsidRPr="00857127" w:rsidRDefault="00003C1C">
      <w:pPr>
        <w:rPr>
          <w:lang w:val="es-CO"/>
        </w:rPr>
      </w:pPr>
      <w:r w:rsidRPr="002442A7">
        <w:rPr>
          <w:noProof/>
          <w:lang w:val="es-ES" w:eastAsia="es-ES"/>
        </w:rPr>
        <w:drawing>
          <wp:anchor distT="0" distB="0" distL="114300" distR="114300" simplePos="0" relativeHeight="251658240" behindDoc="0" locked="0" layoutInCell="1" allowOverlap="1">
            <wp:simplePos x="0" y="0"/>
            <wp:positionH relativeFrom="column">
              <wp:posOffset>876300</wp:posOffset>
            </wp:positionH>
            <wp:positionV relativeFrom="paragraph">
              <wp:posOffset>286385</wp:posOffset>
            </wp:positionV>
            <wp:extent cx="2141855" cy="2141855"/>
            <wp:effectExtent l="0" t="0" r="0" b="0"/>
            <wp:wrapNone/>
            <wp:docPr id="6" name="Imagen 6" descr="D:\DOCUMENTOS\Pictures\QUEJA ANON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OS\Pictures\QUEJA ANONIMA.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1855" cy="2141855"/>
                    </a:xfrm>
                    <a:prstGeom prst="rect">
                      <a:avLst/>
                    </a:prstGeom>
                    <a:noFill/>
                    <a:ln>
                      <a:noFill/>
                    </a:ln>
                  </pic:spPr>
                </pic:pic>
              </a:graphicData>
            </a:graphic>
          </wp:anchor>
        </w:drawing>
      </w:r>
    </w:p>
    <w:p w:rsidR="002442A7" w:rsidRDefault="00861BD6" w:rsidP="00861BD6">
      <w:pPr>
        <w:tabs>
          <w:tab w:val="center" w:pos="4680"/>
        </w:tabs>
        <w:spacing w:after="0" w:line="360" w:lineRule="auto"/>
        <w:rPr>
          <w:lang w:val="es-CO"/>
        </w:rPr>
      </w:pPr>
      <w:r w:rsidRPr="00857127">
        <w:rPr>
          <w:lang w:val="es-CO"/>
        </w:rPr>
        <w:tab/>
      </w:r>
    </w:p>
    <w:p w:rsidR="00857127" w:rsidRDefault="00857127" w:rsidP="00861BD6">
      <w:pPr>
        <w:tabs>
          <w:tab w:val="center" w:pos="4680"/>
        </w:tabs>
        <w:spacing w:after="0" w:line="360" w:lineRule="auto"/>
        <w:rPr>
          <w:lang w:val="es-CO"/>
        </w:rPr>
      </w:pPr>
    </w:p>
    <w:p w:rsidR="00857127" w:rsidRDefault="00857127" w:rsidP="00861BD6">
      <w:pPr>
        <w:tabs>
          <w:tab w:val="center" w:pos="4680"/>
        </w:tabs>
        <w:spacing w:after="0" w:line="360" w:lineRule="auto"/>
        <w:rPr>
          <w:lang w:val="es-CO"/>
        </w:rPr>
      </w:pPr>
    </w:p>
    <w:p w:rsidR="00857127" w:rsidRDefault="00857127" w:rsidP="00861BD6">
      <w:pPr>
        <w:tabs>
          <w:tab w:val="center" w:pos="4680"/>
        </w:tabs>
        <w:spacing w:after="0" w:line="360" w:lineRule="auto"/>
        <w:rPr>
          <w:lang w:val="es-CO"/>
        </w:rPr>
      </w:pPr>
    </w:p>
    <w:p w:rsidR="00857127" w:rsidRDefault="00857127" w:rsidP="00861BD6">
      <w:pPr>
        <w:tabs>
          <w:tab w:val="center" w:pos="4680"/>
        </w:tabs>
        <w:spacing w:after="0" w:line="360" w:lineRule="auto"/>
        <w:rPr>
          <w:lang w:val="es-CO"/>
        </w:rPr>
      </w:pPr>
    </w:p>
    <w:p w:rsidR="00857127" w:rsidRDefault="00857127" w:rsidP="00861BD6">
      <w:pPr>
        <w:tabs>
          <w:tab w:val="center" w:pos="4680"/>
        </w:tabs>
        <w:spacing w:after="0" w:line="360" w:lineRule="auto"/>
        <w:rPr>
          <w:lang w:val="es-CO"/>
        </w:rPr>
      </w:pPr>
    </w:p>
    <w:p w:rsidR="00857127" w:rsidRDefault="00857127" w:rsidP="00861BD6">
      <w:pPr>
        <w:tabs>
          <w:tab w:val="center" w:pos="4680"/>
        </w:tabs>
        <w:spacing w:after="0" w:line="360" w:lineRule="auto"/>
        <w:rPr>
          <w:lang w:val="es-CO"/>
        </w:rPr>
      </w:pPr>
    </w:p>
    <w:p w:rsidR="00857127" w:rsidRDefault="00857127" w:rsidP="00861BD6">
      <w:pPr>
        <w:tabs>
          <w:tab w:val="center" w:pos="4680"/>
        </w:tabs>
        <w:spacing w:after="0" w:line="360" w:lineRule="auto"/>
        <w:rPr>
          <w:lang w:val="es-CO"/>
        </w:rPr>
      </w:pPr>
    </w:p>
    <w:p w:rsidR="00857127" w:rsidRDefault="00857127" w:rsidP="00861BD6">
      <w:pPr>
        <w:tabs>
          <w:tab w:val="center" w:pos="4680"/>
        </w:tabs>
        <w:spacing w:after="0" w:line="360" w:lineRule="auto"/>
        <w:rPr>
          <w:lang w:val="es-CO"/>
        </w:rPr>
      </w:pPr>
    </w:p>
    <w:p w:rsidR="00857127" w:rsidRDefault="00857127" w:rsidP="00861BD6">
      <w:pPr>
        <w:tabs>
          <w:tab w:val="center" w:pos="4680"/>
        </w:tabs>
        <w:spacing w:after="0" w:line="360" w:lineRule="auto"/>
        <w:rPr>
          <w:lang w:val="es-CO"/>
        </w:rPr>
      </w:pPr>
    </w:p>
    <w:p w:rsidR="00350A43" w:rsidRDefault="00003C1C" w:rsidP="00003C1C">
      <w:pPr>
        <w:tabs>
          <w:tab w:val="center" w:pos="4680"/>
        </w:tabs>
        <w:spacing w:after="0" w:line="360" w:lineRule="auto"/>
        <w:jc w:val="both"/>
        <w:rPr>
          <w:rFonts w:ascii="Arial" w:hAnsi="Arial" w:cs="Arial"/>
          <w:sz w:val="24"/>
          <w:lang w:val="es-CO"/>
        </w:rPr>
      </w:pPr>
      <w:r>
        <w:rPr>
          <w:rFonts w:ascii="Arial" w:hAnsi="Arial" w:cs="Arial"/>
          <w:sz w:val="24"/>
          <w:lang w:val="es-CO"/>
        </w:rPr>
        <w:t xml:space="preserve">Es normal que los ciudadanos en general y los Servidores Públicos, den a conocer a las autoridades competentes en cada ciudad, hechos que consideren irregulares que atenten en contra del buen funcionamiento de las entidades públicas, las cuales se presentan a través de la figura conocida como </w:t>
      </w:r>
      <w:r>
        <w:rPr>
          <w:rFonts w:ascii="Arial" w:hAnsi="Arial" w:cs="Arial"/>
          <w:b/>
          <w:sz w:val="24"/>
          <w:lang w:val="es-CO"/>
        </w:rPr>
        <w:lastRenderedPageBreak/>
        <w:t>“ANONIMO”</w:t>
      </w:r>
      <w:r>
        <w:rPr>
          <w:rFonts w:ascii="Arial" w:hAnsi="Arial" w:cs="Arial"/>
          <w:sz w:val="24"/>
          <w:lang w:val="es-CO"/>
        </w:rPr>
        <w:t xml:space="preserve">, la cual se conoce como aquella queja que no expresa </w:t>
      </w:r>
      <w:r w:rsidR="00350A43">
        <w:rPr>
          <w:rFonts w:ascii="Arial" w:hAnsi="Arial" w:cs="Arial"/>
          <w:sz w:val="24"/>
          <w:lang w:val="es-CO"/>
        </w:rPr>
        <w:t>la identidad de la persona que la presenta.</w:t>
      </w:r>
    </w:p>
    <w:p w:rsidR="00350A43" w:rsidRDefault="00350A43" w:rsidP="00003C1C">
      <w:pPr>
        <w:tabs>
          <w:tab w:val="center" w:pos="4680"/>
        </w:tabs>
        <w:spacing w:after="0" w:line="360" w:lineRule="auto"/>
        <w:jc w:val="both"/>
        <w:rPr>
          <w:rFonts w:ascii="Arial" w:hAnsi="Arial" w:cs="Arial"/>
          <w:sz w:val="24"/>
          <w:lang w:val="es-CO"/>
        </w:rPr>
      </w:pPr>
    </w:p>
    <w:p w:rsidR="00350A43" w:rsidRDefault="00350A43" w:rsidP="00003C1C">
      <w:pPr>
        <w:tabs>
          <w:tab w:val="center" w:pos="4680"/>
        </w:tabs>
        <w:spacing w:after="0" w:line="360" w:lineRule="auto"/>
        <w:jc w:val="both"/>
        <w:rPr>
          <w:rFonts w:ascii="Arial" w:hAnsi="Arial" w:cs="Arial"/>
          <w:sz w:val="24"/>
          <w:lang w:val="es-CO"/>
        </w:rPr>
      </w:pPr>
      <w:r>
        <w:rPr>
          <w:rFonts w:ascii="Arial" w:hAnsi="Arial" w:cs="Arial"/>
          <w:sz w:val="24"/>
          <w:lang w:val="es-CO"/>
        </w:rPr>
        <w:t xml:space="preserve">Los artículos 59 y 150 de la Ley 734 de 2002 </w:t>
      </w:r>
      <w:r>
        <w:rPr>
          <w:rFonts w:ascii="Arial" w:hAnsi="Arial" w:cs="Arial"/>
          <w:i/>
          <w:sz w:val="24"/>
          <w:lang w:val="es-CO"/>
        </w:rPr>
        <w:t>“Código Disciplinario Único”</w:t>
      </w:r>
      <w:r>
        <w:rPr>
          <w:rFonts w:ascii="Arial" w:hAnsi="Arial" w:cs="Arial"/>
          <w:sz w:val="24"/>
          <w:lang w:val="es-CO"/>
        </w:rPr>
        <w:t>, regulan expresamente este medio de conocer un hecho, dando la obligación a las autoridades competentes que la reciben de realizar análisis de la misma para establecer con veracidad la ocurrencia de los hechos, e incluso, el inicio de acciones disciplinarias.</w:t>
      </w:r>
    </w:p>
    <w:p w:rsidR="0054367F" w:rsidRDefault="0054367F" w:rsidP="00003C1C">
      <w:pPr>
        <w:tabs>
          <w:tab w:val="center" w:pos="4680"/>
        </w:tabs>
        <w:spacing w:after="0" w:line="360" w:lineRule="auto"/>
        <w:jc w:val="both"/>
        <w:rPr>
          <w:rFonts w:ascii="Arial" w:hAnsi="Arial" w:cs="Arial"/>
          <w:sz w:val="24"/>
          <w:lang w:val="es-CO"/>
        </w:rPr>
      </w:pPr>
    </w:p>
    <w:p w:rsidR="0054367F" w:rsidRPr="0054367F" w:rsidRDefault="0054367F" w:rsidP="0054367F">
      <w:pPr>
        <w:tabs>
          <w:tab w:val="center" w:pos="4680"/>
        </w:tabs>
        <w:spacing w:after="0" w:line="360" w:lineRule="auto"/>
        <w:jc w:val="center"/>
        <w:rPr>
          <w:rFonts w:ascii="Arial" w:hAnsi="Arial" w:cs="Arial"/>
          <w:b/>
          <w:sz w:val="24"/>
          <w:u w:val="single"/>
          <w:lang w:val="es-CO"/>
        </w:rPr>
      </w:pPr>
      <w:r>
        <w:rPr>
          <w:rFonts w:ascii="Arial" w:hAnsi="Arial" w:cs="Arial"/>
          <w:b/>
          <w:sz w:val="24"/>
          <w:u w:val="single"/>
          <w:lang w:val="es-CO"/>
        </w:rPr>
        <w:t>QUE DEBE CO</w:t>
      </w:r>
      <w:r w:rsidR="003E605F">
        <w:rPr>
          <w:rFonts w:ascii="Arial" w:hAnsi="Arial" w:cs="Arial"/>
          <w:b/>
          <w:sz w:val="24"/>
          <w:u w:val="single"/>
          <w:lang w:val="es-CO"/>
        </w:rPr>
        <w:t>NTENER PARA INICIAR INVESTIGACIÓ</w:t>
      </w:r>
      <w:r>
        <w:rPr>
          <w:rFonts w:ascii="Arial" w:hAnsi="Arial" w:cs="Arial"/>
          <w:b/>
          <w:sz w:val="24"/>
          <w:u w:val="single"/>
          <w:lang w:val="es-CO"/>
        </w:rPr>
        <w:t>N</w:t>
      </w:r>
    </w:p>
    <w:p w:rsidR="00350A43" w:rsidRDefault="00350A43" w:rsidP="00003C1C">
      <w:pPr>
        <w:tabs>
          <w:tab w:val="center" w:pos="4680"/>
        </w:tabs>
        <w:spacing w:after="0" w:line="360" w:lineRule="auto"/>
        <w:jc w:val="both"/>
        <w:rPr>
          <w:rFonts w:ascii="Arial" w:hAnsi="Arial" w:cs="Arial"/>
          <w:sz w:val="24"/>
          <w:lang w:val="es-CO"/>
        </w:rPr>
      </w:pPr>
    </w:p>
    <w:p w:rsidR="00350A43" w:rsidRDefault="0054367F" w:rsidP="0054367F">
      <w:pPr>
        <w:pStyle w:val="Prrafodelista"/>
        <w:numPr>
          <w:ilvl w:val="0"/>
          <w:numId w:val="1"/>
        </w:numPr>
        <w:tabs>
          <w:tab w:val="center" w:pos="4680"/>
        </w:tabs>
        <w:spacing w:after="0" w:line="360" w:lineRule="auto"/>
        <w:jc w:val="both"/>
        <w:rPr>
          <w:rFonts w:ascii="Arial" w:hAnsi="Arial" w:cs="Arial"/>
          <w:sz w:val="24"/>
          <w:lang w:val="es-CO"/>
        </w:rPr>
      </w:pPr>
      <w:r>
        <w:rPr>
          <w:noProof/>
          <w:lang w:val="es-ES" w:eastAsia="es-ES"/>
        </w:rPr>
        <w:drawing>
          <wp:anchor distT="0" distB="0" distL="114300" distR="114300" simplePos="0" relativeHeight="251659264" behindDoc="0" locked="0" layoutInCell="1" allowOverlap="1">
            <wp:simplePos x="5267325" y="4524375"/>
            <wp:positionH relativeFrom="margin">
              <wp:align>right</wp:align>
            </wp:positionH>
            <wp:positionV relativeFrom="margin">
              <wp:align>bottom</wp:align>
            </wp:positionV>
            <wp:extent cx="1170000" cy="1170000"/>
            <wp:effectExtent l="0" t="0" r="0" b="0"/>
            <wp:wrapSquare wrapText="bothSides"/>
            <wp:docPr id="7" name="Imagen 7" descr="Imágenes de Pulgar Arriba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ágenes de Pulgar Arriba | Vectores, fotos de stock y PSD gratuito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0000" cy="1170000"/>
                    </a:xfrm>
                    <a:prstGeom prst="rect">
                      <a:avLst/>
                    </a:prstGeom>
                    <a:noFill/>
                    <a:ln>
                      <a:noFill/>
                    </a:ln>
                  </pic:spPr>
                </pic:pic>
              </a:graphicData>
            </a:graphic>
          </wp:anchor>
        </w:drawing>
      </w:r>
      <w:r w:rsidR="003837E7">
        <w:rPr>
          <w:rFonts w:ascii="Arial" w:hAnsi="Arial" w:cs="Arial"/>
          <w:sz w:val="24"/>
          <w:lang w:val="es-CO"/>
        </w:rPr>
        <w:t>Elementos que le permitan al funcionario competente tener visión de los hechos.</w:t>
      </w:r>
    </w:p>
    <w:p w:rsidR="003837E7" w:rsidRDefault="003837E7" w:rsidP="0054367F">
      <w:pPr>
        <w:pStyle w:val="Prrafodelista"/>
        <w:numPr>
          <w:ilvl w:val="0"/>
          <w:numId w:val="1"/>
        </w:numPr>
        <w:tabs>
          <w:tab w:val="center" w:pos="4680"/>
        </w:tabs>
        <w:spacing w:after="0" w:line="360" w:lineRule="auto"/>
        <w:jc w:val="both"/>
        <w:rPr>
          <w:rFonts w:ascii="Arial" w:hAnsi="Arial" w:cs="Arial"/>
          <w:sz w:val="24"/>
          <w:lang w:val="es-CO"/>
        </w:rPr>
      </w:pPr>
      <w:r>
        <w:rPr>
          <w:rFonts w:ascii="Arial" w:hAnsi="Arial" w:cs="Arial"/>
          <w:sz w:val="24"/>
          <w:lang w:val="es-CO"/>
        </w:rPr>
        <w:t>Soporte probatorio de la falta cometida e identificación del autor o autores del hecho.</w:t>
      </w:r>
    </w:p>
    <w:p w:rsidR="003837E7" w:rsidRDefault="003837E7" w:rsidP="0054367F">
      <w:pPr>
        <w:pStyle w:val="Prrafodelista"/>
        <w:numPr>
          <w:ilvl w:val="0"/>
          <w:numId w:val="1"/>
        </w:numPr>
        <w:tabs>
          <w:tab w:val="center" w:pos="4680"/>
        </w:tabs>
        <w:spacing w:after="0" w:line="360" w:lineRule="auto"/>
        <w:jc w:val="both"/>
        <w:rPr>
          <w:rFonts w:ascii="Arial" w:hAnsi="Arial" w:cs="Arial"/>
          <w:sz w:val="24"/>
          <w:lang w:val="es-CO"/>
        </w:rPr>
      </w:pPr>
      <w:r>
        <w:rPr>
          <w:rFonts w:ascii="Arial" w:hAnsi="Arial" w:cs="Arial"/>
          <w:sz w:val="24"/>
          <w:lang w:val="es-CO"/>
        </w:rPr>
        <w:t>Datos de quienes tengan conocimiento de los hechos.</w:t>
      </w:r>
    </w:p>
    <w:p w:rsidR="003837E7" w:rsidRDefault="003837E7" w:rsidP="0054367F">
      <w:pPr>
        <w:pStyle w:val="Prrafodelista"/>
        <w:numPr>
          <w:ilvl w:val="0"/>
          <w:numId w:val="1"/>
        </w:numPr>
        <w:tabs>
          <w:tab w:val="center" w:pos="4680"/>
        </w:tabs>
        <w:spacing w:after="0" w:line="360" w:lineRule="auto"/>
        <w:jc w:val="both"/>
        <w:rPr>
          <w:rFonts w:ascii="Arial" w:hAnsi="Arial" w:cs="Arial"/>
          <w:sz w:val="24"/>
          <w:lang w:val="es-CO"/>
        </w:rPr>
      </w:pPr>
      <w:r>
        <w:rPr>
          <w:rFonts w:ascii="Arial" w:hAnsi="Arial" w:cs="Arial"/>
          <w:sz w:val="24"/>
          <w:lang w:val="es-CO"/>
        </w:rPr>
        <w:t xml:space="preserve">Información que pueda </w:t>
      </w:r>
      <w:r>
        <w:rPr>
          <w:rFonts w:ascii="Arial" w:hAnsi="Arial" w:cs="Arial"/>
          <w:sz w:val="24"/>
          <w:lang w:val="es-CO"/>
        </w:rPr>
        <w:lastRenderedPageBreak/>
        <w:t>corroborarse.</w:t>
      </w:r>
    </w:p>
    <w:p w:rsidR="00B62E15" w:rsidRPr="00B62E15" w:rsidRDefault="00B62E15" w:rsidP="00B62E15">
      <w:pPr>
        <w:tabs>
          <w:tab w:val="center" w:pos="4680"/>
        </w:tabs>
        <w:spacing w:after="0" w:line="360" w:lineRule="auto"/>
        <w:jc w:val="both"/>
        <w:rPr>
          <w:rFonts w:ascii="Arial" w:hAnsi="Arial" w:cs="Arial"/>
          <w:sz w:val="24"/>
          <w:lang w:val="es-CO"/>
        </w:rPr>
      </w:pPr>
      <w:r>
        <w:rPr>
          <w:rFonts w:ascii="Arial" w:hAnsi="Arial" w:cs="Arial"/>
          <w:sz w:val="24"/>
          <w:lang w:val="es-CO"/>
        </w:rPr>
        <w:t xml:space="preserve">El artículo 69 de la Ley 734 de 2002, establece: </w:t>
      </w:r>
      <w:r w:rsidRPr="00B62E15">
        <w:rPr>
          <w:rFonts w:ascii="Arial" w:hAnsi="Arial" w:cs="Arial"/>
          <w:i/>
          <w:sz w:val="24"/>
          <w:lang w:val="es-CO"/>
        </w:rPr>
        <w:t>“La acción disciplinaria se iniciará y adelantará de oficio, o por información proveniente de servidor público o de otro medio que amerite credibilidad, o por queja formulada por cualquier persona, y no procederá por anónimos, salvo en los eventos en que cumpla con los requisitos mínimos consagrados en los artículos 38 de Ley 190 de 1995 y 27 de la Ley 24 de 1992</w:t>
      </w:r>
      <w:r>
        <w:rPr>
          <w:rFonts w:ascii="Arial" w:hAnsi="Arial" w:cs="Arial"/>
          <w:i/>
          <w:sz w:val="24"/>
          <w:lang w:val="es-CO"/>
        </w:rPr>
        <w:t>”</w:t>
      </w:r>
      <w:r w:rsidRPr="00B62E15">
        <w:rPr>
          <w:rFonts w:ascii="Arial" w:hAnsi="Arial" w:cs="Arial"/>
          <w:i/>
          <w:sz w:val="24"/>
          <w:lang w:val="es-CO"/>
        </w:rPr>
        <w:t>.</w:t>
      </w:r>
    </w:p>
    <w:p w:rsidR="00C24A41" w:rsidRDefault="00C24A41" w:rsidP="00B62E15">
      <w:pPr>
        <w:tabs>
          <w:tab w:val="center" w:pos="4680"/>
        </w:tabs>
        <w:spacing w:after="0" w:line="360" w:lineRule="auto"/>
        <w:jc w:val="both"/>
        <w:rPr>
          <w:rFonts w:ascii="Arial" w:hAnsi="Arial" w:cs="Arial"/>
          <w:sz w:val="24"/>
          <w:lang w:val="es-CO"/>
        </w:rPr>
      </w:pPr>
    </w:p>
    <w:p w:rsidR="00B62E15" w:rsidRDefault="00C24A41" w:rsidP="00B62E15">
      <w:pPr>
        <w:tabs>
          <w:tab w:val="center" w:pos="4680"/>
        </w:tabs>
        <w:spacing w:after="0" w:line="360" w:lineRule="auto"/>
        <w:jc w:val="both"/>
        <w:rPr>
          <w:rFonts w:ascii="Arial" w:hAnsi="Arial" w:cs="Arial"/>
          <w:sz w:val="24"/>
          <w:lang w:val="es-CO"/>
        </w:rPr>
      </w:pPr>
      <w:r w:rsidRPr="00C24A41">
        <w:rPr>
          <w:rFonts w:ascii="Arial" w:hAnsi="Arial" w:cs="Arial"/>
          <w:sz w:val="24"/>
          <w:lang w:val="es-CO"/>
        </w:rPr>
        <w:t>La Ley 24 de 1992, en su artículo 27, numeral 1º, impuso de manera general la inadmisión de los escritos anónimos como fundamento para comenzar un procedimiento disciplinario, pero la Ley 190 de 1995, en su artículo 38º, exceptuó la anterior regla cuando determinó que si existían medios probatorios suficientes sobre la comisión de una infracción disciplinaria que permitiera adelantar la actuación de oficio, ésta debía iniciarse</w:t>
      </w:r>
      <w:r w:rsidR="00B62E15" w:rsidRPr="00C24A41">
        <w:rPr>
          <w:rFonts w:ascii="Arial" w:hAnsi="Arial" w:cs="Arial"/>
          <w:noProof/>
          <w:lang w:val="es-ES" w:eastAsia="es-ES"/>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080000" cy="1080000"/>
            <wp:effectExtent l="0" t="0" r="6350" b="6350"/>
            <wp:wrapSquare wrapText="bothSides"/>
            <wp:docPr id="8" name="Imagen 8" descr="Balanza de la justicia, equilibrio de pes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lanza de la justicia, equilibrio de peso | Vector Premiu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anchor>
        </w:drawing>
      </w:r>
      <w:r>
        <w:rPr>
          <w:rFonts w:ascii="Arial" w:hAnsi="Arial" w:cs="Arial"/>
          <w:sz w:val="24"/>
          <w:lang w:val="es-CO"/>
        </w:rPr>
        <w:t>.</w:t>
      </w:r>
    </w:p>
    <w:p w:rsidR="00C24A41" w:rsidRDefault="00C24A41" w:rsidP="00B62E15">
      <w:pPr>
        <w:tabs>
          <w:tab w:val="center" w:pos="4680"/>
        </w:tabs>
        <w:spacing w:after="0" w:line="360" w:lineRule="auto"/>
        <w:jc w:val="both"/>
        <w:rPr>
          <w:rFonts w:ascii="Arial" w:hAnsi="Arial" w:cs="Arial"/>
          <w:sz w:val="24"/>
          <w:lang w:val="es-CO"/>
        </w:rPr>
      </w:pPr>
    </w:p>
    <w:p w:rsidR="00C24A41" w:rsidRDefault="00C24A41" w:rsidP="00B62E15">
      <w:pPr>
        <w:tabs>
          <w:tab w:val="center" w:pos="4680"/>
        </w:tabs>
        <w:spacing w:after="0" w:line="360" w:lineRule="auto"/>
        <w:jc w:val="both"/>
        <w:rPr>
          <w:rFonts w:ascii="Arial" w:hAnsi="Arial" w:cs="Arial"/>
          <w:sz w:val="24"/>
          <w:lang w:val="es-CO"/>
        </w:rPr>
      </w:pPr>
      <w:r>
        <w:rPr>
          <w:rFonts w:ascii="Arial" w:hAnsi="Arial" w:cs="Arial"/>
          <w:sz w:val="24"/>
          <w:lang w:val="es-CO"/>
        </w:rPr>
        <w:lastRenderedPageBreak/>
        <w:t>En razón a lo anterior, se hace necesario que el funcionario que tiene las atribuciones y competencia para dar inicio a las Investigaciones</w:t>
      </w:r>
      <w:r w:rsidR="00F822E8">
        <w:rPr>
          <w:rFonts w:ascii="Arial" w:hAnsi="Arial" w:cs="Arial"/>
          <w:sz w:val="24"/>
          <w:lang w:val="es-CO"/>
        </w:rPr>
        <w:t xml:space="preserve"> por este tipo de quejas, realice un estudio a fondo de lo aportado en la misma, así como de lo narrado, de lo contrario deberá </w:t>
      </w:r>
      <w:r w:rsidR="00F822E8">
        <w:rPr>
          <w:rFonts w:ascii="Arial" w:hAnsi="Arial" w:cs="Arial"/>
          <w:b/>
          <w:sz w:val="24"/>
          <w:lang w:val="es-CO"/>
        </w:rPr>
        <w:t>“INADMITIR”</w:t>
      </w:r>
      <w:r w:rsidR="00F822E8">
        <w:rPr>
          <w:rFonts w:ascii="Arial" w:hAnsi="Arial" w:cs="Arial"/>
          <w:sz w:val="24"/>
          <w:lang w:val="es-CO"/>
        </w:rPr>
        <w:t xml:space="preserve"> el anónimo, mediante </w:t>
      </w:r>
      <w:r w:rsidR="00F822E8" w:rsidRPr="00F822E8">
        <w:rPr>
          <w:rFonts w:ascii="Arial" w:hAnsi="Arial" w:cs="Arial"/>
          <w:sz w:val="24"/>
          <w:u w:val="single"/>
          <w:lang w:val="es-CO"/>
        </w:rPr>
        <w:t>providencia motivada</w:t>
      </w:r>
      <w:r w:rsidR="00F822E8">
        <w:rPr>
          <w:rFonts w:ascii="Arial" w:hAnsi="Arial" w:cs="Arial"/>
          <w:sz w:val="24"/>
          <w:lang w:val="es-CO"/>
        </w:rPr>
        <w:t>, que dé cuenta del análisis anteriormente descrito.</w:t>
      </w:r>
    </w:p>
    <w:p w:rsidR="00F822E8" w:rsidRDefault="00F822E8" w:rsidP="00B62E15">
      <w:pPr>
        <w:tabs>
          <w:tab w:val="center" w:pos="4680"/>
        </w:tabs>
        <w:spacing w:after="0" w:line="360" w:lineRule="auto"/>
        <w:jc w:val="both"/>
        <w:rPr>
          <w:rFonts w:ascii="Arial" w:hAnsi="Arial" w:cs="Arial"/>
          <w:sz w:val="24"/>
          <w:lang w:val="es-CO"/>
        </w:rPr>
      </w:pPr>
    </w:p>
    <w:p w:rsidR="00F822E8" w:rsidRDefault="00342456" w:rsidP="00B62E15">
      <w:pPr>
        <w:tabs>
          <w:tab w:val="center" w:pos="4680"/>
        </w:tabs>
        <w:spacing w:after="0" w:line="360" w:lineRule="auto"/>
        <w:jc w:val="both"/>
        <w:rPr>
          <w:rFonts w:ascii="Arial" w:hAnsi="Arial" w:cs="Arial"/>
          <w:sz w:val="24"/>
          <w:lang w:val="es-CO"/>
        </w:rPr>
      </w:pPr>
      <w:r>
        <w:rPr>
          <w:rFonts w:ascii="Arial" w:hAnsi="Arial" w:cs="Arial"/>
          <w:sz w:val="24"/>
          <w:lang w:val="es-CO"/>
        </w:rPr>
        <w:t xml:space="preserve">El </w:t>
      </w:r>
      <w:r>
        <w:rPr>
          <w:rFonts w:ascii="Arial" w:hAnsi="Arial" w:cs="Arial"/>
          <w:b/>
          <w:sz w:val="24"/>
          <w:lang w:val="es-CO"/>
        </w:rPr>
        <w:t>“EL AUTO DE INADMISION”</w:t>
      </w:r>
      <w:r>
        <w:rPr>
          <w:rFonts w:ascii="Arial" w:hAnsi="Arial" w:cs="Arial"/>
          <w:sz w:val="24"/>
          <w:lang w:val="es-CO"/>
        </w:rPr>
        <w:t xml:space="preserve"> de un </w:t>
      </w:r>
      <w:r>
        <w:rPr>
          <w:rFonts w:ascii="Arial" w:hAnsi="Arial" w:cs="Arial"/>
          <w:b/>
          <w:sz w:val="24"/>
          <w:lang w:val="es-CO"/>
        </w:rPr>
        <w:t>ANONIMO</w:t>
      </w:r>
      <w:r>
        <w:rPr>
          <w:rFonts w:ascii="Arial" w:hAnsi="Arial" w:cs="Arial"/>
          <w:sz w:val="24"/>
          <w:lang w:val="es-CO"/>
        </w:rPr>
        <w:t xml:space="preserve">, no hace </w:t>
      </w:r>
      <w:r w:rsidR="003E605F">
        <w:rPr>
          <w:rFonts w:ascii="Arial" w:hAnsi="Arial" w:cs="Arial"/>
          <w:sz w:val="24"/>
          <w:lang w:val="es-CO"/>
        </w:rPr>
        <w:t>tránsito</w:t>
      </w:r>
      <w:r>
        <w:rPr>
          <w:rFonts w:ascii="Arial" w:hAnsi="Arial" w:cs="Arial"/>
          <w:sz w:val="24"/>
          <w:lang w:val="es-CO"/>
        </w:rPr>
        <w:t xml:space="preserve"> a cosa juzgada, razón por la que puede ser revocado en cualquier momento por la autoridad competente, por recepción de nueva denuncia, y ordenarse el inicio de las acciones disciplinarias correspondientes.</w:t>
      </w:r>
    </w:p>
    <w:p w:rsidR="00342456" w:rsidRDefault="00342456" w:rsidP="00B62E15">
      <w:pPr>
        <w:tabs>
          <w:tab w:val="center" w:pos="4680"/>
        </w:tabs>
        <w:spacing w:after="0" w:line="360" w:lineRule="auto"/>
        <w:jc w:val="both"/>
        <w:rPr>
          <w:rFonts w:ascii="Arial" w:hAnsi="Arial" w:cs="Arial"/>
          <w:sz w:val="24"/>
          <w:lang w:val="es-CO"/>
        </w:rPr>
      </w:pPr>
    </w:p>
    <w:p w:rsidR="00B62E15" w:rsidRPr="00B62E15" w:rsidRDefault="001E5D44" w:rsidP="001E5D44">
      <w:pPr>
        <w:tabs>
          <w:tab w:val="center" w:pos="4680"/>
        </w:tabs>
        <w:spacing w:after="0" w:line="360" w:lineRule="auto"/>
        <w:rPr>
          <w:rFonts w:ascii="Arial" w:hAnsi="Arial" w:cs="Arial"/>
          <w:sz w:val="24"/>
          <w:lang w:val="es-CO"/>
        </w:rPr>
      </w:pPr>
      <w:r>
        <w:rPr>
          <w:rFonts w:ascii="Arial" w:hAnsi="Arial" w:cs="Arial"/>
          <w:b/>
          <w:noProof/>
          <w:sz w:val="24"/>
          <w:lang w:val="es-ES" w:eastAsia="es-ES"/>
        </w:rPr>
        <w:drawing>
          <wp:anchor distT="0" distB="0" distL="114300" distR="114300" simplePos="0" relativeHeight="251661312" behindDoc="0" locked="0" layoutInCell="1" allowOverlap="1">
            <wp:simplePos x="0" y="0"/>
            <wp:positionH relativeFrom="margin">
              <wp:posOffset>6881495</wp:posOffset>
            </wp:positionH>
            <wp:positionV relativeFrom="margin">
              <wp:posOffset>4409440</wp:posOffset>
            </wp:positionV>
            <wp:extent cx="1323975" cy="1247775"/>
            <wp:effectExtent l="19050" t="0" r="9525" b="0"/>
            <wp:wrapSquare wrapText="bothSides"/>
            <wp:docPr id="10" name="Imagen 10" descr="Temis O Justicia - Diosa Del Orden Y La Ley En La Antigua Grecia Carácter  Mítico Griego Y Romano Con Venda De Ojos, Espada Ilustración del Vector -  Ilustración de persona, antiguo: 17091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mis O Justicia - Diosa Del Orden Y La Ley En La Antigua Grecia Carácter  Mítico Griego Y Romano Con Venda De Ojos, Espada Ilustración del Vector -  Ilustración de persona, antiguo: 17091063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3975" cy="1247775"/>
                    </a:xfrm>
                    <a:prstGeom prst="rect">
                      <a:avLst/>
                    </a:prstGeom>
                    <a:noFill/>
                    <a:ln>
                      <a:noFill/>
                    </a:ln>
                  </pic:spPr>
                </pic:pic>
              </a:graphicData>
            </a:graphic>
          </wp:anchor>
        </w:drawing>
      </w:r>
      <w:r w:rsidR="00342456">
        <w:rPr>
          <w:rFonts w:ascii="Arial" w:hAnsi="Arial" w:cs="Arial"/>
          <w:b/>
          <w:sz w:val="24"/>
          <w:lang w:val="es-CO"/>
        </w:rPr>
        <w:t xml:space="preserve">“LAS QUEJAS ANONIMAS PODRAN ADMITIRSE SIEMPRE Y CUANDO ESTEN ACOMPAÑADAS DE MEDIOS PROBATORIOS SUFICIENTES QUE ACREDITEN LA INFRACCION” </w:t>
      </w:r>
      <w:bookmarkStart w:id="0" w:name="_GoBack"/>
      <w:bookmarkEnd w:id="0"/>
    </w:p>
    <w:sectPr w:rsidR="00B62E15" w:rsidRPr="00B62E15" w:rsidSect="003E605F">
      <w:headerReference w:type="default" r:id="rId11"/>
      <w:footerReference w:type="default" r:id="rId12"/>
      <w:pgSz w:w="15840" w:h="12240" w:orient="landscape" w:code="1"/>
      <w:pgMar w:top="1418" w:right="1361" w:bottom="1418" w:left="1418" w:header="737" w:footer="73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4EF" w:rsidRDefault="000104EF" w:rsidP="00AF356B">
      <w:pPr>
        <w:spacing w:after="0" w:line="240" w:lineRule="auto"/>
      </w:pPr>
      <w:r>
        <w:separator/>
      </w:r>
    </w:p>
  </w:endnote>
  <w:endnote w:type="continuationSeparator" w:id="1">
    <w:p w:rsidR="000104EF" w:rsidRDefault="000104EF" w:rsidP="00AF3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hrut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43" w:rsidRDefault="00350A43">
    <w:pPr>
      <w:pStyle w:val="Piedepgina"/>
      <w:rPr>
        <w:rFonts w:ascii="Arial" w:hAnsi="Arial" w:cs="Arial"/>
        <w:sz w:val="20"/>
        <w:lang w:val="es-CO"/>
      </w:rPr>
    </w:pPr>
  </w:p>
  <w:p w:rsidR="00AF356B" w:rsidRPr="002442A7" w:rsidRDefault="00AF356B">
    <w:pPr>
      <w:pStyle w:val="Piedepgina"/>
      <w:rPr>
        <w:rFonts w:ascii="Arial" w:hAnsi="Arial" w:cs="Arial"/>
        <w:sz w:val="20"/>
        <w:lang w:val="es-CO"/>
      </w:rPr>
    </w:pPr>
    <w:r w:rsidRPr="002442A7">
      <w:rPr>
        <w:rFonts w:ascii="Arial" w:hAnsi="Arial" w:cs="Arial"/>
        <w:sz w:val="20"/>
        <w:lang w:val="es-CO"/>
      </w:rPr>
      <w:t xml:space="preserve">Calle 44 No. 54-11 CAN </w:t>
    </w:r>
  </w:p>
  <w:p w:rsidR="002442A7" w:rsidRPr="002442A7" w:rsidRDefault="002442A7">
    <w:pPr>
      <w:pStyle w:val="Piedepgina"/>
      <w:rPr>
        <w:rFonts w:ascii="Arial" w:hAnsi="Arial" w:cs="Arial"/>
        <w:sz w:val="20"/>
        <w:lang w:val="es-CO"/>
      </w:rPr>
    </w:pPr>
    <w:r w:rsidRPr="002442A7">
      <w:rPr>
        <w:rFonts w:ascii="Arial" w:hAnsi="Arial" w:cs="Arial"/>
        <w:sz w:val="20"/>
        <w:lang w:val="es-CO"/>
      </w:rPr>
      <w:t>PBX (57+1) 2207800 – FAX (57+1) 2225786</w:t>
    </w:r>
  </w:p>
  <w:p w:rsidR="002442A7" w:rsidRPr="002442A7" w:rsidRDefault="002442A7">
    <w:pPr>
      <w:pStyle w:val="Piedepgina"/>
      <w:rPr>
        <w:rFonts w:ascii="Arial" w:hAnsi="Arial" w:cs="Arial"/>
        <w:sz w:val="20"/>
        <w:lang w:val="es-CO"/>
      </w:rPr>
    </w:pPr>
    <w:r w:rsidRPr="002442A7">
      <w:rPr>
        <w:rFonts w:ascii="Arial" w:hAnsi="Arial" w:cs="Arial"/>
        <w:sz w:val="20"/>
        <w:lang w:val="es-CO"/>
      </w:rPr>
      <w:t xml:space="preserve">Correo Institucional: </w:t>
    </w:r>
    <w:hyperlink r:id="rId1" w:history="1">
      <w:r w:rsidRPr="002442A7">
        <w:rPr>
          <w:rStyle w:val="Hipervnculo"/>
          <w:rFonts w:ascii="Arial" w:hAnsi="Arial" w:cs="Arial"/>
          <w:sz w:val="20"/>
          <w:lang w:val="es-CO"/>
        </w:rPr>
        <w:t>indumil@indumil.gov.co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4EF" w:rsidRDefault="000104EF" w:rsidP="00AF356B">
      <w:pPr>
        <w:spacing w:after="0" w:line="240" w:lineRule="auto"/>
      </w:pPr>
      <w:r>
        <w:separator/>
      </w:r>
    </w:p>
  </w:footnote>
  <w:footnote w:type="continuationSeparator" w:id="1">
    <w:p w:rsidR="000104EF" w:rsidRDefault="000104EF" w:rsidP="00AF3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6B" w:rsidRDefault="00585539" w:rsidP="003E605F">
    <w:pPr>
      <w:pStyle w:val="Encabezado"/>
      <w:tabs>
        <w:tab w:val="clear" w:pos="4680"/>
        <w:tab w:val="clear" w:pos="9360"/>
        <w:tab w:val="left" w:pos="10260"/>
      </w:tabs>
    </w:pPr>
    <w:r w:rsidRPr="00585539">
      <w:rPr>
        <w:rFonts w:ascii="Batang" w:eastAsia="Batang" w:hAnsi="Batang"/>
        <w:noProof/>
      </w:rPr>
      <w:pict>
        <v:group id="Grupo 1" o:spid="_x0000_s4098" style="position:absolute;margin-left:565.1pt;margin-top:-27.1pt;width:84.35pt;height:73.25pt;z-index:251658240" coordorigin="768,847" coordsize="718,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">
          <v:group id="Group 2" o:spid="_x0000_s4100" style="position:absolute;left:768;top:847;width:672;height:564" coordorigin="768,847" coordsize="67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2" type="#_x0000_t75" style="position:absolute;left:912;top:847;width:480;height: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" fillcolor="#0c9">
              <v:imagedata r:id="rId1" o:title="" grayscale="t"/>
            </v:shape>
            <v:rect id="Rectangle 4" o:spid="_x0000_s4101" style="position:absolute;left:768;top:1344;width:672;height: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" filled="f" fillcolor="#0c9" stroked="f">
              <v:textbox inset=",,,0">
                <w:txbxContent>
                  <w:p w:rsidR="00AF356B" w:rsidRDefault="00AF356B" w:rsidP="00AF356B">
                    <w:pPr>
                      <w:autoSpaceDE w:val="0"/>
                      <w:autoSpaceDN w:val="0"/>
                      <w:adjustRightInd w:val="0"/>
                      <w:rPr>
                        <w:color w:val="000000"/>
                        <w:sz w:val="48"/>
                        <w:szCs w:val="48"/>
                      </w:rPr>
                    </w:pPr>
                    <w:r>
                      <w:rPr>
                        <w:b/>
                        <w:bCs/>
                        <w:color w:val="000000"/>
                        <w:sz w:val="8"/>
                        <w:szCs w:val="8"/>
                      </w:rPr>
                      <w:tab/>
                    </w:r>
                  </w:p>
                </w:txbxContent>
              </v:textbox>
            </v:rect>
          </v:group>
          <v:rect id="Rectangle 5" o:spid="_x0000_s4099" style="position:absolute;left:814;top:1258;width:672;height: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" filled="f" fillcolor="#0c9" stroked="f">
            <v:textbox>
              <w:txbxContent>
                <w:p w:rsidR="00AF356B" w:rsidRDefault="00AF356B" w:rsidP="00AF356B">
                  <w:pPr>
                    <w:autoSpaceDE w:val="0"/>
                    <w:autoSpaceDN w:val="0"/>
                    <w:adjustRightInd w:val="0"/>
                    <w:rPr>
                      <w:color w:val="000000"/>
                      <w:sz w:val="10"/>
                      <w:szCs w:val="8"/>
                      <w:lang w:val="es-MX"/>
                    </w:rPr>
                  </w:pPr>
                  <w:r>
                    <w:rPr>
                      <w:color w:val="000000"/>
                      <w:sz w:val="10"/>
                      <w:szCs w:val="8"/>
                    </w:rPr>
                    <w:t xml:space="preserve">  Grupo Social y Empresarial</w:t>
                  </w:r>
                </w:p>
                <w:p w:rsidR="00AF356B" w:rsidRDefault="003E605F" w:rsidP="00AF356B">
                  <w:pPr>
                    <w:autoSpaceDE w:val="0"/>
                    <w:autoSpaceDN w:val="0"/>
                    <w:adjustRightInd w:val="0"/>
                    <w:rPr>
                      <w:color w:val="000000"/>
                      <w:sz w:val="10"/>
                      <w:szCs w:val="8"/>
                    </w:rPr>
                  </w:pPr>
                  <w:r>
                    <w:rPr>
                      <w:b/>
                      <w:bCs/>
                      <w:color w:val="000000"/>
                      <w:sz w:val="10"/>
                      <w:szCs w:val="8"/>
                    </w:rPr>
                    <w:t>de la</w:t>
                  </w:r>
                  <w:r w:rsidR="00AF356B">
                    <w:rPr>
                      <w:b/>
                      <w:bCs/>
                      <w:color w:val="000000"/>
                      <w:sz w:val="10"/>
                      <w:szCs w:val="8"/>
                    </w:rPr>
                    <w:t>Defensa</w:t>
                  </w:r>
                  <w:permStart w:id="0" w:edGrp="everyone"/>
                  <w:permEnd w:id="0"/>
                </w:p>
                <w:p w:rsidR="00AF356B" w:rsidRDefault="00AF356B" w:rsidP="00AF356B">
                  <w:pPr>
                    <w:autoSpaceDE w:val="0"/>
                    <w:autoSpaceDN w:val="0"/>
                    <w:adjustRightInd w:val="0"/>
                    <w:rPr>
                      <w:rFonts w:ascii="Shruti" w:hAnsi="Shruti"/>
                      <w:b/>
                      <w:bCs/>
                      <w:color w:val="000000"/>
                      <w:sz w:val="8"/>
                      <w:szCs w:val="8"/>
                    </w:rPr>
                  </w:pPr>
                </w:p>
              </w:txbxContent>
            </v:textbox>
          </v:rect>
        </v:group>
      </w:pict>
    </w:r>
    <w:r w:rsidR="00AF356B" w:rsidRPr="0094453A">
      <w:rPr>
        <w:rFonts w:ascii="Batang" w:eastAsia="Batang" w:hAnsi="Batang"/>
      </w:rPr>
      <w:object w:dxaOrig="6661" w:dyaOrig="2115">
        <v:shape id="_x0000_i1025" type="#_x0000_t75" style="width:162pt;height:51.75pt" o:ole="">
          <v:imagedata r:id="rId2" o:title=""/>
        </v:shape>
        <o:OLEObject Type="Embed" ProgID="PBrush" ShapeID="_x0000_i1025" DrawAspect="Content" ObjectID="_1681109940" r:id="rId3"/>
      </w:object>
    </w:r>
    <w:r w:rsidR="003E605F">
      <w:rPr>
        <w:rFonts w:ascii="Batang" w:eastAsia="Batang" w:hAnsi="Batang"/>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B317A"/>
    <w:multiLevelType w:val="hybridMultilevel"/>
    <w:tmpl w:val="B3B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AF356B"/>
    <w:rsid w:val="00003C1C"/>
    <w:rsid w:val="000104EF"/>
    <w:rsid w:val="000672FB"/>
    <w:rsid w:val="000C1A79"/>
    <w:rsid w:val="001E5D44"/>
    <w:rsid w:val="002442A7"/>
    <w:rsid w:val="00251AED"/>
    <w:rsid w:val="00342456"/>
    <w:rsid w:val="00350A43"/>
    <w:rsid w:val="003837E7"/>
    <w:rsid w:val="003E605F"/>
    <w:rsid w:val="0054367F"/>
    <w:rsid w:val="00581070"/>
    <w:rsid w:val="00585539"/>
    <w:rsid w:val="007B5F70"/>
    <w:rsid w:val="00857127"/>
    <w:rsid w:val="00861BD6"/>
    <w:rsid w:val="008C10AA"/>
    <w:rsid w:val="0094453A"/>
    <w:rsid w:val="00954739"/>
    <w:rsid w:val="009F613C"/>
    <w:rsid w:val="00AF356B"/>
    <w:rsid w:val="00B62E15"/>
    <w:rsid w:val="00C24A41"/>
    <w:rsid w:val="00C24B93"/>
    <w:rsid w:val="00CA670B"/>
    <w:rsid w:val="00E43749"/>
    <w:rsid w:val="00F037B9"/>
    <w:rsid w:val="00F822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356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F356B"/>
  </w:style>
  <w:style w:type="paragraph" w:styleId="Piedepgina">
    <w:name w:val="footer"/>
    <w:basedOn w:val="Normal"/>
    <w:link w:val="PiedepginaCar"/>
    <w:uiPriority w:val="99"/>
    <w:unhideWhenUsed/>
    <w:rsid w:val="00AF356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F356B"/>
  </w:style>
  <w:style w:type="character" w:styleId="Hipervnculo">
    <w:name w:val="Hyperlink"/>
    <w:basedOn w:val="Fuentedeprrafopredeter"/>
    <w:uiPriority w:val="99"/>
    <w:unhideWhenUsed/>
    <w:rsid w:val="002442A7"/>
    <w:rPr>
      <w:color w:val="0563C1" w:themeColor="hyperlink"/>
      <w:u w:val="single"/>
    </w:rPr>
  </w:style>
  <w:style w:type="paragraph" w:styleId="Prrafodelista">
    <w:name w:val="List Paragraph"/>
    <w:basedOn w:val="Normal"/>
    <w:uiPriority w:val="34"/>
    <w:qFormat/>
    <w:rsid w:val="0054367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dumil@indumil.gov.c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Industria Militar</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Martha Isabel Gomez Pinto</cp:lastModifiedBy>
  <cp:revision>4</cp:revision>
  <dcterms:created xsi:type="dcterms:W3CDTF">2021-04-15T12:39:00Z</dcterms:created>
  <dcterms:modified xsi:type="dcterms:W3CDTF">2021-04-28T15:12:00Z</dcterms:modified>
</cp:coreProperties>
</file>